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sz w:val="30"/>
          <w:szCs w:val="30"/>
          <w:rtl w:val="0"/>
        </w:rPr>
        <w:br w:type="textWrapping"/>
        <w:br w:type="textWrapping"/>
        <w:br w:type="textWrapping"/>
      </w:r>
      <w:r w:rsidDel="00000000" w:rsidR="00000000" w:rsidRPr="00000000">
        <w:rPr>
          <w:sz w:val="52"/>
          <w:szCs w:val="52"/>
          <w:rtl w:val="0"/>
        </w:rPr>
        <w:t xml:space="preserve">Leistungsbeschreibungs-Muster</w:t>
      </w:r>
      <w:r w:rsidDel="00000000" w:rsidR="00000000" w:rsidRPr="00000000">
        <w:rPr>
          <w:rtl w:val="0"/>
        </w:rPr>
        <w:br w:type="textWrapping"/>
        <w:t xml:space="preserve">zur Erstellung einer individuellen Leistungsbeschreibung für folgendes Produkt:</w:t>
        <w:br w:type="textWrapping"/>
        <w:br w:type="textWrapping"/>
        <w:br w:type="textWrapping"/>
        <w:br w:type="textWrapping"/>
      </w:r>
      <w:r w:rsidDel="00000000" w:rsidR="00000000" w:rsidRPr="00000000">
        <w:rPr>
          <w:sz w:val="52"/>
          <w:szCs w:val="52"/>
          <w:rtl w:val="0"/>
        </w:rPr>
        <w:t xml:space="preserve">SYNAXON Managed Backup</w:t>
      </w:r>
      <w:r w:rsidDel="00000000" w:rsidR="00000000" w:rsidRPr="00000000">
        <w:rPr>
          <w:highlight w:val="yellow"/>
          <w:rtl w:val="0"/>
        </w:rPr>
        <w:br w:type="textWrapping"/>
      </w:r>
      <w:r w:rsidDel="00000000" w:rsidR="00000000" w:rsidRPr="00000000">
        <w:rPr>
          <w:rtl w:val="0"/>
        </w:rPr>
        <w:br w:type="textWrapping"/>
        <w:br w:type="textWrapping"/>
        <w:br w:type="textWrapping"/>
      </w:r>
    </w:p>
    <w:p w:rsidR="00000000" w:rsidDel="00000000" w:rsidP="00000000" w:rsidRDefault="00000000" w:rsidRPr="00000000" w14:paraId="00000002">
      <w:pPr>
        <w:jc w:val="both"/>
        <w:rPr/>
        <w:sectPr>
          <w:headerReference r:id="rId6" w:type="first"/>
          <w:footerReference r:id="rId7" w:type="first"/>
          <w:pgSz w:h="16838" w:w="11906" w:orient="portrait"/>
          <w:pgMar w:bottom="1440.0000000000002" w:top="1440.0000000000002" w:left="1440.0000000000002" w:right="1440.0000000000002" w:header="0" w:footer="720"/>
          <w:pgNumType w:start="0"/>
        </w:sectPr>
      </w:pPr>
      <w:r w:rsidDel="00000000" w:rsidR="00000000" w:rsidRPr="00000000">
        <w:rPr>
          <w:rtl w:val="0"/>
        </w:rPr>
        <w:br w:type="textWrapping"/>
        <w:t xml:space="preserve">Die folgende Mustervorlage, welche durch die SYNAXON AG bereitgestellt wird, dient ausschließlich als Orientierungshilfe und soll bei der Erstellung einer eigenen und individuellen Leistungsbeschreibung unterstützen. Die Vorlage ist in jedem Fall für die konkrete Anwendung zu überprüfen und sofern erforderlich, an die individuellen Gegebenheiten anzupassen. Hierzu muss die Vorlage mindestens an den dafür farblich gekennzeichneten Stellen angepasst werden. Falls in dieser Mustervorlage Preise genannt werden, handelt es sich um unverbindliche Empfehlungen. Die SYNAXON AG übernimmt keine Haftung für Schäden, die durch die Verwendung dieser Mustervorlage entstehen.</w:t>
        <w:br w:type="textWrapping"/>
      </w:r>
    </w:p>
    <w:p w:rsidR="00000000" w:rsidDel="00000000" w:rsidP="00000000" w:rsidRDefault="00000000" w:rsidRPr="00000000" w14:paraId="00000003">
      <w:pPr>
        <w:pStyle w:val="Title"/>
        <w:jc w:val="center"/>
        <w:rPr/>
      </w:pPr>
      <w:bookmarkStart w:colFirst="0" w:colLast="0" w:name="_2apsan22u8tm" w:id="0"/>
      <w:bookmarkEnd w:id="0"/>
      <w:r w:rsidDel="00000000" w:rsidR="00000000" w:rsidRPr="00000000">
        <w:rPr>
          <w:rtl w:val="0"/>
        </w:rPr>
        <w:t xml:space="preserve">Leistungsbeschreibung</w:t>
      </w:r>
      <w:r w:rsidDel="00000000" w:rsidR="00000000" w:rsidRPr="00000000">
        <w:rPr>
          <w:rtl w:val="0"/>
        </w:rPr>
        <w:t xml:space="preserve"> </w:t>
        <w:br w:type="textWrapping"/>
      </w:r>
      <w:r w:rsidDel="00000000" w:rsidR="00000000" w:rsidRPr="00000000">
        <w:rPr>
          <w:rtl w:val="0"/>
        </w:rPr>
        <w:t xml:space="preserve">Managed Backup</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sz w:val="32"/>
          <w:szCs w:val="32"/>
          <w:u w:val="single"/>
        </w:rPr>
      </w:pPr>
      <w:r w:rsidDel="00000000" w:rsidR="00000000" w:rsidRPr="00000000">
        <w:rPr>
          <w:b w:val="1"/>
          <w:sz w:val="32"/>
          <w:szCs w:val="32"/>
          <w:u w:val="single"/>
          <w:rtl w:val="0"/>
        </w:rPr>
        <w:t xml:space="preserve">Inhaltsverzeichnis</w:t>
      </w:r>
    </w:p>
    <w:p w:rsidR="00000000" w:rsidDel="00000000" w:rsidP="00000000" w:rsidRDefault="00000000" w:rsidRPr="00000000" w14:paraId="0000000A">
      <w:pPr>
        <w:rPr>
          <w:b w:val="1"/>
          <w:u w:val="singl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ygmq42s22rj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Allgemeine Informationen</w:t>
              <w:tab/>
              <w:t xml:space="preserve">1</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4vl0k87y2w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Was die </w:t>
            </w:r>
          </w:hyperlink>
          <w:hyperlink w:anchor="_h4vl0k87y2we">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PARTNER GMBH</w:t>
            </w:r>
          </w:hyperlink>
          <w:hyperlink w:anchor="_h4vl0k87y2w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leistet</w:t>
              <w:tab/>
              <w:t xml:space="preserve">1</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fvnm0in3jv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Bereitstellung passender Backup-Software inklusive Wartungs- und Updatepaket</w:t>
              <w:tab/>
              <w:t xml:space="preserve">1</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vtj5xxmex5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Monatlicher Bericht über den Service</w:t>
              <w:tab/>
              <w:t xml:space="preserve">2</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gq6lfx4jvie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Kosten und Laufzeit</w:t>
              <w:tab/>
              <w:t xml:space="preserve">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0">
      <w:pPr>
        <w:pStyle w:val="Heading1"/>
        <w:rPr/>
      </w:pPr>
      <w:bookmarkStart w:colFirst="0" w:colLast="0" w:name="_i8a9224bfkyk" w:id="1"/>
      <w:bookmarkEnd w:id="1"/>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jc w:val="center"/>
        <w:rPr>
          <w:b w:val="1"/>
        </w:rPr>
        <w:sectPr>
          <w:headerReference r:id="rId8" w:type="default"/>
          <w:type w:val="nextPage"/>
          <w:pgSz w:h="16838" w:w="11906" w:orient="portrait"/>
          <w:pgMar w:bottom="1440.0000000000002" w:top="1440.0000000000002" w:left="1440.0000000000002" w:right="1440.0000000000002" w:header="0" w:footer="720"/>
        </w:sectPr>
      </w:pPr>
      <w:r w:rsidDel="00000000" w:rsidR="00000000" w:rsidRPr="00000000">
        <w:rPr>
          <w:rtl w:val="0"/>
        </w:rPr>
      </w:r>
    </w:p>
    <w:p w:rsidR="00000000" w:rsidDel="00000000" w:rsidP="00000000" w:rsidRDefault="00000000" w:rsidRPr="00000000" w14:paraId="00000015">
      <w:pPr>
        <w:pStyle w:val="Heading1"/>
        <w:rPr/>
      </w:pPr>
      <w:bookmarkStart w:colFirst="0" w:colLast="0" w:name="_ygmq42s22rjj" w:id="2"/>
      <w:bookmarkEnd w:id="2"/>
      <w:r w:rsidDel="00000000" w:rsidR="00000000" w:rsidRPr="00000000">
        <w:rPr>
          <w:rtl w:val="0"/>
        </w:rPr>
        <w:t xml:space="preserve">Allgemeine Informationen</w:t>
      </w:r>
    </w:p>
    <w:p w:rsidR="00000000" w:rsidDel="00000000" w:rsidP="00000000" w:rsidRDefault="00000000" w:rsidRPr="00000000" w14:paraId="00000016">
      <w:pPr>
        <w:rPr>
          <w:sz w:val="20"/>
          <w:szCs w:val="20"/>
        </w:rPr>
      </w:pPr>
      <w:r w:rsidDel="00000000" w:rsidR="00000000" w:rsidRPr="00000000">
        <w:rPr>
          <w:color w:val="999999"/>
          <w:sz w:val="20"/>
          <w:szCs w:val="20"/>
          <w:rtl w:val="0"/>
        </w:rPr>
        <w:t xml:space="preserve">Wenn im Folgenden das Wort Workstation genutzt wird, sind hiermit PCs und Notebooks gemeint.</w:t>
        <w:br w:type="textWrapping"/>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Die </w:t>
      </w:r>
      <w:r w:rsidDel="00000000" w:rsidR="00000000" w:rsidRPr="00000000">
        <w:rPr>
          <w:color w:val="ff0000"/>
          <w:rtl w:val="0"/>
        </w:rPr>
        <w:t xml:space="preserve">PARTNER GMBH</w:t>
      </w:r>
      <w:r w:rsidDel="00000000" w:rsidR="00000000" w:rsidRPr="00000000">
        <w:rPr>
          <w:rtl w:val="0"/>
        </w:rPr>
        <w:t xml:space="preserve"> stellt ihren Kunden Backup-Speicher und eine Backup-Software mit einem webbasierten Dashboard zur Überwachung und Einrichtung von Backup-Aufträgen in einer IT-Infrastruktur zur Verfügung.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76" w:lineRule="auto"/>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Die Software bietet auf Servern, Virtuellen Maschinen, Workstations und Cloud-Services unter anderem folgende Funktionen, die abhängig von der jeweiligen Lizenz und dem Betriebssystem sind und optional genutzt werden können:</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Kontinuierliche Datensicherung (CDP)</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Data Protection-Karte und Datenkonformitätsberichte</w:t>
      </w:r>
    </w:p>
    <w:p w:rsidR="00000000" w:rsidDel="00000000" w:rsidP="00000000" w:rsidRDefault="00000000" w:rsidRPr="00000000" w14:paraId="0000001D">
      <w:pPr>
        <w:numPr>
          <w:ilvl w:val="0"/>
          <w:numId w:val="1"/>
        </w:numPr>
        <w:spacing w:after="0" w:afterAutospacing="0" w:line="240" w:lineRule="auto"/>
        <w:ind w:left="720" w:hanging="360"/>
        <w:rPr/>
      </w:pPr>
      <w:r w:rsidDel="00000000" w:rsidR="00000000" w:rsidRPr="00000000">
        <w:rPr>
          <w:rtl w:val="0"/>
        </w:rPr>
        <w:t xml:space="preserve">Planbare Backup-Berichte</w:t>
      </w:r>
    </w:p>
    <w:p w:rsidR="00000000" w:rsidDel="00000000" w:rsidP="00000000" w:rsidRDefault="00000000" w:rsidRPr="00000000" w14:paraId="0000001E">
      <w:pPr>
        <w:numPr>
          <w:ilvl w:val="0"/>
          <w:numId w:val="1"/>
        </w:numPr>
        <w:spacing w:after="0" w:afterAutospacing="0" w:line="240" w:lineRule="auto"/>
        <w:ind w:left="720" w:hanging="360"/>
        <w:rPr/>
      </w:pPr>
      <w:r w:rsidDel="00000000" w:rsidR="00000000" w:rsidRPr="00000000">
        <w:rPr>
          <w:rtl w:val="0"/>
        </w:rPr>
        <w:t xml:space="preserve">Beglaubigung und digitale Signaturen für per Backup gesicherte Dateien</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Backup und Recovery für Applikations-Cluster</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Vielfache Backup-Varianten</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Flexible Backup Storage-Optionen</w:t>
      </w:r>
    </w:p>
    <w:p w:rsidR="00000000" w:rsidDel="00000000" w:rsidP="00000000" w:rsidRDefault="00000000" w:rsidRPr="00000000" w14:paraId="00000022">
      <w:pPr>
        <w:numPr>
          <w:ilvl w:val="0"/>
          <w:numId w:val="1"/>
        </w:numPr>
        <w:spacing w:after="0" w:afterAutospacing="0" w:line="240" w:lineRule="auto"/>
        <w:ind w:left="720" w:hanging="360"/>
        <w:rPr/>
      </w:pPr>
      <w:r w:rsidDel="00000000" w:rsidR="00000000" w:rsidRPr="00000000">
        <w:rPr>
          <w:rtl w:val="0"/>
        </w:rPr>
        <w:t xml:space="preserve">Backup-Verschlüsselung</w:t>
      </w:r>
    </w:p>
    <w:p w:rsidR="00000000" w:rsidDel="00000000" w:rsidP="00000000" w:rsidRDefault="00000000" w:rsidRPr="00000000" w14:paraId="00000023">
      <w:pPr>
        <w:numPr>
          <w:ilvl w:val="0"/>
          <w:numId w:val="1"/>
        </w:numPr>
        <w:spacing w:line="240" w:lineRule="auto"/>
        <w:ind w:left="720" w:hanging="360"/>
        <w:rPr/>
      </w:pPr>
      <w:r w:rsidDel="00000000" w:rsidR="00000000" w:rsidRPr="00000000">
        <w:rPr>
          <w:rtl w:val="0"/>
        </w:rPr>
        <w:t xml:space="preserve">Deduplizierung</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Vordefinierte Schutzpläne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Mandantenfähige und mehrstufige Verwaltung</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Integration in PSA- und RMM-Systeme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Disaster Recovery für physische und virtuelle Workloads</w:t>
      </w:r>
      <w:r w:rsidDel="00000000" w:rsidR="00000000" w:rsidRPr="00000000">
        <w:rPr>
          <w:rtl w:val="0"/>
        </w:rPr>
      </w:r>
    </w:p>
    <w:p w:rsidR="00000000" w:rsidDel="00000000" w:rsidP="00000000" w:rsidRDefault="00000000" w:rsidRPr="00000000" w14:paraId="00000028">
      <w:pPr>
        <w:pStyle w:val="Heading1"/>
        <w:rPr/>
      </w:pPr>
      <w:bookmarkStart w:colFirst="0" w:colLast="0" w:name="_h4vl0k87y2we" w:id="3"/>
      <w:bookmarkEnd w:id="3"/>
      <w:r w:rsidDel="00000000" w:rsidR="00000000" w:rsidRPr="00000000">
        <w:rPr>
          <w:rtl w:val="0"/>
        </w:rPr>
        <w:t xml:space="preserve">Was die </w:t>
      </w:r>
      <w:r w:rsidDel="00000000" w:rsidR="00000000" w:rsidRPr="00000000">
        <w:rPr>
          <w:color w:val="ff0000"/>
          <w:rtl w:val="0"/>
        </w:rPr>
        <w:t xml:space="preserve">PARTNER GMBH </w:t>
      </w:r>
      <w:r w:rsidDel="00000000" w:rsidR="00000000" w:rsidRPr="00000000">
        <w:rPr>
          <w:rtl w:val="0"/>
        </w:rPr>
        <w:t xml:space="preserve">leistet</w:t>
      </w:r>
    </w:p>
    <w:p w:rsidR="00000000" w:rsidDel="00000000" w:rsidP="00000000" w:rsidRDefault="00000000" w:rsidRPr="00000000" w14:paraId="00000029">
      <w:pPr>
        <w:pStyle w:val="Heading2"/>
        <w:numPr>
          <w:ilvl w:val="0"/>
          <w:numId w:val="2"/>
        </w:numPr>
        <w:ind w:left="720" w:hanging="360"/>
        <w:rPr/>
      </w:pPr>
      <w:bookmarkStart w:colFirst="0" w:colLast="0" w:name="_kfvnm0in3jvz" w:id="4"/>
      <w:bookmarkEnd w:id="4"/>
      <w:r w:rsidDel="00000000" w:rsidR="00000000" w:rsidRPr="00000000">
        <w:rPr>
          <w:rtl w:val="0"/>
        </w:rPr>
        <w:t xml:space="preserve">Bereitstellung passender Backup-Software inklusive Wartungs- und Updatepaket</w:t>
      </w:r>
    </w:p>
    <w:p w:rsidR="00000000" w:rsidDel="00000000" w:rsidP="00000000" w:rsidRDefault="00000000" w:rsidRPr="00000000" w14:paraId="0000002A">
      <w:pPr>
        <w:widowControl w:val="0"/>
        <w:ind w:left="720" w:firstLine="0"/>
        <w:rPr/>
      </w:pPr>
      <w:r w:rsidDel="00000000" w:rsidR="00000000" w:rsidRPr="00000000">
        <w:rPr>
          <w:color w:val="ff0000"/>
          <w:rtl w:val="0"/>
        </w:rPr>
        <w:t xml:space="preserve">PARTNER GMBH</w:t>
      </w:r>
      <w:r w:rsidDel="00000000" w:rsidR="00000000" w:rsidRPr="00000000">
        <w:rPr>
          <w:rtl w:val="0"/>
        </w:rPr>
        <w:t xml:space="preserve"> installiert eine Backup-Software, konfiguriert einen Backupplan und überprüft regelmäßig das Backup auf Aktualität und Integrität. Sie alarmiert bei veralteter Backup-Software, überwacht die Backuppläne und stellt bei Bedarf einzelne Daten oder vollständige IT-Systeme aus dem Backup wieder her.</w:t>
      </w:r>
    </w:p>
    <w:p w:rsidR="00000000" w:rsidDel="00000000" w:rsidP="00000000" w:rsidRDefault="00000000" w:rsidRPr="00000000" w14:paraId="0000002B">
      <w:pPr>
        <w:widowControl w:val="0"/>
        <w:ind w:left="720" w:firstLine="0"/>
        <w:rPr/>
      </w:pPr>
      <w:r w:rsidDel="00000000" w:rsidR="00000000" w:rsidRPr="00000000">
        <w:rPr>
          <w:rtl w:val="0"/>
        </w:rPr>
      </w:r>
    </w:p>
    <w:p w:rsidR="00000000" w:rsidDel="00000000" w:rsidP="00000000" w:rsidRDefault="00000000" w:rsidRPr="00000000" w14:paraId="0000002C">
      <w:pPr>
        <w:widowControl w:val="0"/>
        <w:ind w:left="720" w:firstLine="0"/>
        <w:rPr/>
      </w:pPr>
      <w:r w:rsidDel="00000000" w:rsidR="00000000" w:rsidRPr="00000000">
        <w:rPr>
          <w:rtl w:val="0"/>
        </w:rPr>
        <w:t xml:space="preserve">Falls ein Neustart durch Installation oder Update der Backup-Software auf der Kunden-IT notwendig sein sollte, wird dies nach Absprache durch </w:t>
      </w:r>
      <w:r w:rsidDel="00000000" w:rsidR="00000000" w:rsidRPr="00000000">
        <w:rPr>
          <w:color w:val="ff0000"/>
          <w:rtl w:val="0"/>
        </w:rPr>
        <w:t xml:space="preserve">PARTNER GMBH</w:t>
      </w:r>
      <w:r w:rsidDel="00000000" w:rsidR="00000000" w:rsidRPr="00000000">
        <w:rPr>
          <w:rtl w:val="0"/>
        </w:rPr>
        <w:t xml:space="preserve"> oder selbstständig vom Kunden durchgeführt.</w:t>
      </w:r>
    </w:p>
    <w:p w:rsidR="00000000" w:rsidDel="00000000" w:rsidP="00000000" w:rsidRDefault="00000000" w:rsidRPr="00000000" w14:paraId="0000002D">
      <w:pPr>
        <w:widowControl w:val="0"/>
        <w:ind w:left="720" w:firstLine="0"/>
        <w:rPr/>
      </w:pPr>
      <w:r w:rsidDel="00000000" w:rsidR="00000000" w:rsidRPr="00000000">
        <w:rPr>
          <w:rtl w:val="0"/>
        </w:rPr>
      </w:r>
    </w:p>
    <w:p w:rsidR="00000000" w:rsidDel="00000000" w:rsidP="00000000" w:rsidRDefault="00000000" w:rsidRPr="00000000" w14:paraId="0000002E">
      <w:pPr>
        <w:widowControl w:val="0"/>
        <w:ind w:firstLine="720"/>
        <w:rPr>
          <w:color w:val="ff0000"/>
        </w:rPr>
      </w:pPr>
      <w:r w:rsidDel="00000000" w:rsidR="00000000" w:rsidRPr="00000000">
        <w:rPr>
          <w:rtl w:val="0"/>
        </w:rPr>
      </w:r>
    </w:p>
    <w:p w:rsidR="00000000" w:rsidDel="00000000" w:rsidP="00000000" w:rsidRDefault="00000000" w:rsidRPr="00000000" w14:paraId="0000002F">
      <w:pPr>
        <w:widowControl w:val="0"/>
        <w:rPr/>
      </w:pPr>
      <w:r w:rsidDel="00000000" w:rsidR="00000000" w:rsidRPr="00000000">
        <w:rPr>
          <w:rtl w:val="0"/>
        </w:rPr>
      </w:r>
    </w:p>
    <w:p w:rsidR="00000000" w:rsidDel="00000000" w:rsidP="00000000" w:rsidRDefault="00000000" w:rsidRPr="00000000" w14:paraId="00000030">
      <w:pPr>
        <w:pStyle w:val="Heading2"/>
        <w:widowControl w:val="0"/>
        <w:numPr>
          <w:ilvl w:val="0"/>
          <w:numId w:val="3"/>
        </w:numPr>
        <w:ind w:left="720" w:hanging="360"/>
        <w:rPr>
          <w:color w:val="ff9900"/>
        </w:rPr>
      </w:pPr>
      <w:bookmarkStart w:colFirst="0" w:colLast="0" w:name="_svtj5xxmex5s" w:id="5"/>
      <w:bookmarkEnd w:id="5"/>
      <w:r w:rsidDel="00000000" w:rsidR="00000000" w:rsidRPr="00000000">
        <w:rPr>
          <w:color w:val="ff9900"/>
          <w:rtl w:val="0"/>
        </w:rPr>
        <w:t xml:space="preserve">Monatlicher Bericht über den Service</w:t>
      </w:r>
    </w:p>
    <w:p w:rsidR="00000000" w:rsidDel="00000000" w:rsidP="00000000" w:rsidRDefault="00000000" w:rsidRPr="00000000" w14:paraId="00000031">
      <w:pPr>
        <w:widowControl w:val="0"/>
        <w:ind w:left="720" w:firstLine="0"/>
        <w:rPr>
          <w:b w:val="1"/>
          <w:color w:val="ff9900"/>
        </w:rPr>
      </w:pPr>
      <w:r w:rsidDel="00000000" w:rsidR="00000000" w:rsidRPr="00000000">
        <w:rPr>
          <w:color w:val="ff9900"/>
          <w:rtl w:val="0"/>
        </w:rPr>
        <w:t xml:space="preserve">Der Kunde erhält auf Wunsch einen monatlichen Bericht über den Service und seine IT-Umgebung per E-Mail. </w:t>
      </w:r>
      <w:r w:rsidDel="00000000" w:rsidR="00000000" w:rsidRPr="00000000">
        <w:rPr>
          <w:rtl w:val="0"/>
        </w:rPr>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line="276" w:lineRule="auto"/>
        <w:ind w:left="0" w:firstLine="0"/>
        <w:rPr>
          <w:color w:val="ff9900"/>
        </w:rPr>
      </w:pPr>
      <w:r w:rsidDel="00000000" w:rsidR="00000000" w:rsidRPr="00000000">
        <w:rPr>
          <w:rtl w:val="0"/>
        </w:rPr>
      </w:r>
    </w:p>
    <w:p w:rsidR="00000000" w:rsidDel="00000000" w:rsidP="00000000" w:rsidRDefault="00000000" w:rsidRPr="00000000" w14:paraId="00000033">
      <w:pPr>
        <w:widowControl w:val="0"/>
        <w:ind w:left="0" w:firstLine="0"/>
        <w:rPr/>
      </w:pPr>
      <w:r w:rsidDel="00000000" w:rsidR="00000000" w:rsidRPr="00000000">
        <w:rPr>
          <w:rtl w:val="0"/>
        </w:rPr>
      </w:r>
    </w:p>
    <w:p w:rsidR="00000000" w:rsidDel="00000000" w:rsidP="00000000" w:rsidRDefault="00000000" w:rsidRPr="00000000" w14:paraId="00000034">
      <w:pPr>
        <w:pStyle w:val="Heading1"/>
        <w:rPr/>
      </w:pPr>
      <w:bookmarkStart w:colFirst="0" w:colLast="0" w:name="_gq6lfx4jvieu" w:id="6"/>
      <w:bookmarkEnd w:id="6"/>
      <w:r w:rsidDel="00000000" w:rsidR="00000000" w:rsidRPr="00000000">
        <w:rPr>
          <w:rtl w:val="0"/>
        </w:rPr>
        <w:t xml:space="preserve">Kosten und Laufzeit</w:t>
      </w:r>
      <w:r w:rsidDel="00000000" w:rsidR="00000000" w:rsidRPr="00000000">
        <w:rPr>
          <w:rtl w:val="0"/>
        </w:rPr>
      </w:r>
    </w:p>
    <w:p w:rsidR="00000000" w:rsidDel="00000000" w:rsidP="00000000" w:rsidRDefault="00000000" w:rsidRPr="00000000" w14:paraId="00000035">
      <w:pPr>
        <w:widowControl w:val="0"/>
        <w:rPr>
          <w:color w:val="ff0000"/>
        </w:rPr>
      </w:pPr>
      <w:r w:rsidDel="00000000" w:rsidR="00000000" w:rsidRPr="00000000">
        <w:rPr>
          <w:rtl w:val="0"/>
        </w:rPr>
        <w:t xml:space="preserve">Laufzeit: </w:t>
      </w:r>
      <w:r w:rsidDel="00000000" w:rsidR="00000000" w:rsidRPr="00000000">
        <w:rPr>
          <w:color w:val="ff0000"/>
          <w:rtl w:val="0"/>
        </w:rPr>
        <w:t xml:space="preserve">XXX</w:t>
      </w:r>
    </w:p>
    <w:p w:rsidR="00000000" w:rsidDel="00000000" w:rsidP="00000000" w:rsidRDefault="00000000" w:rsidRPr="00000000" w14:paraId="00000036">
      <w:pPr>
        <w:widowControl w:val="0"/>
        <w:rPr>
          <w:color w:val="ff0000"/>
        </w:rPr>
      </w:pPr>
      <w:r w:rsidDel="00000000" w:rsidR="00000000" w:rsidRPr="00000000">
        <w:rPr>
          <w:rtl w:val="0"/>
        </w:rPr>
      </w:r>
    </w:p>
    <w:p w:rsidR="00000000" w:rsidDel="00000000" w:rsidP="00000000" w:rsidRDefault="00000000" w:rsidRPr="00000000" w14:paraId="00000037">
      <w:pPr>
        <w:widowControl w:val="0"/>
        <w:rPr/>
      </w:pPr>
      <w:r w:rsidDel="00000000" w:rsidR="00000000" w:rsidRPr="00000000">
        <w:rPr>
          <w:rtl w:val="0"/>
        </w:rPr>
        <w:t xml:space="preserve">monatliche Kosten</w:t>
      </w:r>
      <w:r w:rsidDel="00000000" w:rsidR="00000000" w:rsidRPr="00000000">
        <w:rPr>
          <w:rtl w:val="0"/>
        </w:rPr>
        <w:t xml:space="preserve">: </w:t>
      </w:r>
    </w:p>
    <w:p w:rsidR="00000000" w:rsidDel="00000000" w:rsidP="00000000" w:rsidRDefault="00000000" w:rsidRPr="00000000" w14:paraId="00000038">
      <w:pPr>
        <w:widowControl w:val="0"/>
        <w:rPr/>
      </w:pPr>
      <w:r w:rsidDel="00000000" w:rsidR="00000000" w:rsidRPr="00000000">
        <w:rPr>
          <w:rtl w:val="0"/>
        </w:rPr>
      </w:r>
    </w:p>
    <w:tbl>
      <w:tblPr>
        <w:tblStyle w:val="Table1"/>
        <w:tblW w:w="8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575"/>
        <w:tblGridChange w:id="0">
          <w:tblGrid>
            <w:gridCol w:w="4410"/>
            <w:gridCol w:w="4575"/>
          </w:tblGrid>
        </w:tblGridChange>
      </w:tblGrid>
      <w:tr>
        <w:trPr>
          <w:cantSplit w:val="0"/>
          <w:trHeight w:val="6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300" w:lineRule="auto"/>
              <w:rPr/>
            </w:pPr>
            <w:r w:rsidDel="00000000" w:rsidR="00000000" w:rsidRPr="00000000">
              <w:rPr>
                <w:rtl w:val="0"/>
              </w:rPr>
              <w:t xml:space="preserve">Managed Backup: GB-Modell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rPr>
                <w:color w:val="ff0000"/>
              </w:rPr>
            </w:pPr>
            <w:r w:rsidDel="00000000" w:rsidR="00000000" w:rsidRPr="00000000">
              <w:rPr>
                <w:color w:val="ff0000"/>
                <w:rtl w:val="0"/>
              </w:rPr>
              <w:t xml:space="preserve">je GB: XX,XX Euro zzgl. MwSt.</w:t>
            </w:r>
          </w:p>
        </w:tc>
      </w:tr>
    </w:tbl>
    <w:p w:rsidR="00000000" w:rsidDel="00000000" w:rsidP="00000000" w:rsidRDefault="00000000" w:rsidRPr="00000000" w14:paraId="0000003B">
      <w:pPr>
        <w:widowControl w:val="0"/>
        <w:rPr/>
      </w:pPr>
      <w:r w:rsidDel="00000000" w:rsidR="00000000" w:rsidRPr="00000000">
        <w:rPr>
          <w:rtl w:val="0"/>
        </w:rPr>
      </w:r>
    </w:p>
    <w:tbl>
      <w:tblPr>
        <w:tblStyle w:val="Table2"/>
        <w:tblW w:w="8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575"/>
        <w:tblGridChange w:id="0">
          <w:tblGrid>
            <w:gridCol w:w="4410"/>
            <w:gridCol w:w="4575"/>
          </w:tblGrid>
        </w:tblGridChange>
      </w:tblGrid>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300" w:lineRule="auto"/>
              <w:rPr/>
            </w:pPr>
            <w:r w:rsidDel="00000000" w:rsidR="00000000" w:rsidRPr="00000000">
              <w:rPr>
                <w:rtl w:val="0"/>
              </w:rPr>
              <w:t xml:space="preserve">Managed Backup: Workload-Modell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rPr>
                <w:color w:val="ff0000"/>
              </w:rPr>
            </w:pPr>
            <w:r w:rsidDel="00000000" w:rsidR="00000000" w:rsidRPr="00000000">
              <w:rPr>
                <w:color w:val="ff0000"/>
                <w:rtl w:val="0"/>
              </w:rPr>
              <w:t xml:space="preserve">je Workstation: XX,XX € zzgl. MwSt.</w:t>
            </w:r>
          </w:p>
          <w:p w:rsidR="00000000" w:rsidDel="00000000" w:rsidP="00000000" w:rsidRDefault="00000000" w:rsidRPr="00000000" w14:paraId="0000003E">
            <w:pPr>
              <w:widowControl w:val="0"/>
              <w:rPr>
                <w:color w:val="ff0000"/>
              </w:rPr>
            </w:pPr>
            <w:r w:rsidDel="00000000" w:rsidR="00000000" w:rsidRPr="00000000">
              <w:rPr>
                <w:color w:val="ff0000"/>
                <w:rtl w:val="0"/>
              </w:rPr>
              <w:t xml:space="preserve">je VM: XX,XX € zzgl. MwSt.</w:t>
            </w:r>
          </w:p>
          <w:p w:rsidR="00000000" w:rsidDel="00000000" w:rsidP="00000000" w:rsidRDefault="00000000" w:rsidRPr="00000000" w14:paraId="0000003F">
            <w:pPr>
              <w:widowControl w:val="0"/>
              <w:rPr>
                <w:color w:val="ff0000"/>
              </w:rPr>
            </w:pPr>
            <w:r w:rsidDel="00000000" w:rsidR="00000000" w:rsidRPr="00000000">
              <w:rPr>
                <w:color w:val="ff0000"/>
                <w:rtl w:val="0"/>
              </w:rPr>
              <w:t xml:space="preserve">je NAS: XX,XX € zzgl. MwSt.</w:t>
            </w:r>
          </w:p>
          <w:p w:rsidR="00000000" w:rsidDel="00000000" w:rsidP="00000000" w:rsidRDefault="00000000" w:rsidRPr="00000000" w14:paraId="00000040">
            <w:pPr>
              <w:widowControl w:val="0"/>
              <w:rPr>
                <w:color w:val="ff0000"/>
              </w:rPr>
            </w:pPr>
            <w:r w:rsidDel="00000000" w:rsidR="00000000" w:rsidRPr="00000000">
              <w:rPr>
                <w:color w:val="ff0000"/>
                <w:rtl w:val="0"/>
              </w:rPr>
              <w:t xml:space="preserve">je Server (Host) XX,XX € zzgl. MwSt.</w:t>
            </w:r>
          </w:p>
        </w:tc>
      </w:tr>
    </w:tbl>
    <w:p w:rsidR="00000000" w:rsidDel="00000000" w:rsidP="00000000" w:rsidRDefault="00000000" w:rsidRPr="00000000" w14:paraId="00000041">
      <w:pPr>
        <w:pageBreakBefore w:val="0"/>
        <w:widowControl w:val="0"/>
        <w:spacing w:line="276" w:lineRule="auto"/>
        <w:rPr/>
      </w:pPr>
      <w:r w:rsidDel="00000000" w:rsidR="00000000" w:rsidRPr="00000000">
        <w:rPr>
          <w:rtl w:val="0"/>
        </w:rPr>
      </w:r>
    </w:p>
    <w:p w:rsidR="00000000" w:rsidDel="00000000" w:rsidP="00000000" w:rsidRDefault="00000000" w:rsidRPr="00000000" w14:paraId="00000042">
      <w:pPr>
        <w:widowControl w:val="0"/>
        <w:rPr/>
      </w:pPr>
      <w:r w:rsidDel="00000000" w:rsidR="00000000" w:rsidRPr="00000000">
        <w:rPr>
          <w:rtl w:val="0"/>
        </w:rPr>
      </w:r>
    </w:p>
    <w:p w:rsidR="00000000" w:rsidDel="00000000" w:rsidP="00000000" w:rsidRDefault="00000000" w:rsidRPr="00000000" w14:paraId="00000043">
      <w:pPr>
        <w:pageBreakBefore w:val="0"/>
        <w:widowControl w:val="0"/>
        <w:spacing w:line="276" w:lineRule="auto"/>
        <w:rPr>
          <w:color w:val="ff0000"/>
        </w:rPr>
      </w:pPr>
      <w:r w:rsidDel="00000000" w:rsidR="00000000" w:rsidRPr="00000000">
        <w:rPr>
          <w:color w:val="ff0000"/>
          <w:rtl w:val="0"/>
        </w:rPr>
        <w:t xml:space="preserve">einmalige Aktivierungsgebühr: </w:t>
        <w:tab/>
        <w:tab/>
        <w:t xml:space="preserve">entfällt</w:t>
      </w:r>
    </w:p>
    <w:p w:rsidR="00000000" w:rsidDel="00000000" w:rsidP="00000000" w:rsidRDefault="00000000" w:rsidRPr="00000000" w14:paraId="00000044">
      <w:pPr>
        <w:pageBreakBefore w:val="0"/>
        <w:widowControl w:val="0"/>
        <w:spacing w:line="276" w:lineRule="auto"/>
        <w:rPr>
          <w:color w:val="ff0000"/>
        </w:rPr>
      </w:pPr>
      <w:r w:rsidDel="00000000" w:rsidR="00000000" w:rsidRPr="00000000">
        <w:rPr>
          <w:color w:val="ff0000"/>
          <w:rtl w:val="0"/>
        </w:rPr>
        <w:t xml:space="preserve">Gebühr für Wartung &amp; Support:</w:t>
        <w:tab/>
        <w:tab/>
        <w:t xml:space="preserve">entfällt</w:t>
      </w:r>
    </w:p>
    <w:p w:rsidR="00000000" w:rsidDel="00000000" w:rsidP="00000000" w:rsidRDefault="00000000" w:rsidRPr="00000000" w14:paraId="00000045">
      <w:pPr>
        <w:pageBreakBefore w:val="0"/>
        <w:widowControl w:val="0"/>
        <w:spacing w:line="276" w:lineRule="auto"/>
        <w:rPr>
          <w:color w:val="ff0000"/>
        </w:rPr>
      </w:pPr>
      <w:r w:rsidDel="00000000" w:rsidR="00000000" w:rsidRPr="00000000">
        <w:rPr>
          <w:rtl w:val="0"/>
        </w:rPr>
      </w:r>
    </w:p>
    <w:p w:rsidR="00000000" w:rsidDel="00000000" w:rsidP="00000000" w:rsidRDefault="00000000" w:rsidRPr="00000000" w14:paraId="00000046">
      <w:pPr>
        <w:rPr>
          <w:color w:val="ff0000"/>
        </w:rPr>
      </w:pPr>
      <w:r w:rsidDel="00000000" w:rsidR="00000000" w:rsidRPr="00000000">
        <w:rPr>
          <w:rtl w:val="0"/>
        </w:rPr>
        <w:t xml:space="preserve">Alle genannten Preise sind Nettopreise und werden zuzüglich der gesetzlichen Mehrwertsteuer berechnet.</w:t>
      </w:r>
      <w:r w:rsidDel="00000000" w:rsidR="00000000" w:rsidRPr="00000000">
        <w:rPr>
          <w:rtl w:val="0"/>
        </w:rPr>
      </w:r>
    </w:p>
    <w:p w:rsidR="00000000" w:rsidDel="00000000" w:rsidP="00000000" w:rsidRDefault="00000000" w:rsidRPr="00000000" w14:paraId="00000047">
      <w:pPr>
        <w:widowControl w:val="0"/>
        <w:rPr>
          <w:i w:val="1"/>
        </w:rPr>
      </w:pPr>
      <w:r w:rsidDel="00000000" w:rsidR="00000000" w:rsidRPr="00000000">
        <w:rPr>
          <w:rtl w:val="0"/>
        </w:rPr>
      </w:r>
    </w:p>
    <w:sectPr>
      <w:headerReference r:id="rId9" w:type="default"/>
      <w:footerReference r:id="rId10" w:type="default"/>
      <w:type w:val="nextPage"/>
      <w:pgSz w:h="16838" w:w="11906" w:orient="portrait"/>
      <w:pgMar w:bottom="1440.000000000000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spacing w:line="276" w:lineRule="auto"/>
      <w:jc w:val="right"/>
      <w:rPr>
        <w:rFonts w:ascii="Arial" w:cs="Arial" w:eastAsia="Arial" w:hAnsi="Arial"/>
        <w:color w:val="999999"/>
        <w:sz w:val="18"/>
        <w:szCs w:val="18"/>
      </w:rPr>
    </w:pPr>
    <w:r w:rsidDel="00000000" w:rsidR="00000000" w:rsidRPr="00000000">
      <w:rPr>
        <w:rtl w:val="0"/>
      </w:rPr>
    </w:r>
  </w:p>
  <w:p w:rsidR="00000000" w:rsidDel="00000000" w:rsidP="00000000" w:rsidRDefault="00000000" w:rsidRPr="00000000" w14:paraId="0000004B">
    <w:pPr>
      <w:spacing w:line="276" w:lineRule="auto"/>
      <w:ind w:left="-1417.3228346456694" w:right="-1440" w:firstLine="0"/>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ind w:left="7920" w:firstLine="0"/>
      <w:rPr/>
    </w:pPr>
    <w:r w:rsidDel="00000000" w:rsidR="00000000" w:rsidRPr="00000000">
      <w:rPr>
        <w:rtl w:val="0"/>
      </w:rPr>
      <w:t xml:space="preserve">Seite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spacing w:line="276" w:lineRule="auto"/>
      <w:ind w:right="-324.3307086614169"/>
      <w:jc w:val="right"/>
      <w:rPr>
        <w:rFonts w:ascii="Arial" w:cs="Arial" w:eastAsia="Arial" w:hAnsi="Arial"/>
        <w:color w:val="999999"/>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4572000</wp:posOffset>
          </wp:positionH>
          <wp:positionV relativeFrom="paragraph">
            <wp:posOffset>47626</wp:posOffset>
          </wp:positionV>
          <wp:extent cx="1795463" cy="79966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5463" cy="799660"/>
                  </a:xfrm>
                  <a:prstGeom prst="rect"/>
                  <a:ln/>
                </pic:spPr>
              </pic:pic>
            </a:graphicData>
          </a:graphic>
        </wp:anchor>
      </w:drawing>
    </w:r>
  </w:p>
  <w:p w:rsidR="00000000" w:rsidDel="00000000" w:rsidP="00000000" w:rsidRDefault="00000000" w:rsidRPr="00000000" w14:paraId="00000049">
    <w:pPr>
      <w:spacing w:line="276" w:lineRule="auto"/>
      <w:ind w:left="-1440" w:right="-1440" w:firstLine="0"/>
      <w:rPr>
        <w:color w:val="999999"/>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